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157025A" w14:textId="124374E7" w:rsidR="00E74954" w:rsidRPr="00024A70" w:rsidRDefault="00E74954" w:rsidP="00E74954">
      <w:pPr>
        <w:pStyle w:val="berschrift1"/>
        <w:rPr>
          <w:rFonts w:eastAsia="Times New Roman"/>
          <w:sz w:val="72"/>
          <w:szCs w:val="72"/>
          <w:lang w:eastAsia="de-DE"/>
        </w:rPr>
      </w:pPr>
      <w:proofErr w:type="spellStart"/>
      <w:r w:rsidRPr="00024A70">
        <w:rPr>
          <w:rFonts w:eastAsia="Times New Roman"/>
          <w:sz w:val="72"/>
          <w:szCs w:val="72"/>
          <w:lang w:eastAsia="de-DE"/>
        </w:rPr>
        <w:t>Horseshoe</w:t>
      </w:r>
      <w:proofErr w:type="spellEnd"/>
      <w:r w:rsidRPr="00024A70">
        <w:rPr>
          <w:rFonts w:eastAsia="Times New Roman"/>
          <w:sz w:val="72"/>
          <w:szCs w:val="72"/>
          <w:lang w:eastAsia="de-DE"/>
        </w:rPr>
        <w:t xml:space="preserve"> Woman</w:t>
      </w:r>
    </w:p>
    <w:p w14:paraId="310C13F1" w14:textId="03DC683A" w:rsidR="00E74954" w:rsidRPr="00E74954" w:rsidRDefault="00E74954" w:rsidP="00E74954">
      <w:pPr>
        <w:spacing w:after="240" w:line="240" w:lineRule="auto"/>
        <w:jc w:val="both"/>
        <w:outlineLvl w:val="1"/>
        <w:rPr>
          <w:rFonts w:ascii="Italiana" w:eastAsia="Times New Roman" w:hAnsi="Italiana" w:cs="Times New Roman"/>
          <w:color w:val="141420"/>
          <w:kern w:val="0"/>
          <w:sz w:val="72"/>
          <w:szCs w:val="72"/>
          <w:lang w:eastAsia="de-DE"/>
          <w14:ligatures w14:val="none"/>
        </w:rPr>
      </w:pPr>
      <w:proofErr w:type="spellStart"/>
      <w:r>
        <w:rPr>
          <w:rFonts w:ascii="Didact Gothic" w:hAnsi="Didact Gothic"/>
          <w:color w:val="717175"/>
          <w:sz w:val="30"/>
          <w:szCs w:val="30"/>
          <w:shd w:val="clear" w:color="auto" w:fill="FFFFFF"/>
        </w:rPr>
        <w:t>Horseshoe</w:t>
      </w:r>
      <w:proofErr w:type="spellEnd"/>
      <w:r>
        <w:rPr>
          <w:rFonts w:ascii="Didact Gothic" w:hAnsi="Didact Gothic"/>
          <w:color w:val="717175"/>
          <w:sz w:val="30"/>
          <w:szCs w:val="30"/>
          <w:shd w:val="clear" w:color="auto" w:fill="FFFFFF"/>
        </w:rPr>
        <w:t xml:space="preserve"> Woman – das steht für Alternative Folk ohne Kompromisse. Die Band verschmilzt Tradition und Moderne zu einem Sound von mystisch bis rockig. Hier reiben sich Banjo und Tin Whistle an </w:t>
      </w:r>
      <w:proofErr w:type="gramStart"/>
      <w:r>
        <w:rPr>
          <w:rFonts w:ascii="Didact Gothic" w:hAnsi="Didact Gothic"/>
          <w:color w:val="717175"/>
          <w:sz w:val="30"/>
          <w:szCs w:val="30"/>
          <w:shd w:val="clear" w:color="auto" w:fill="FFFFFF"/>
        </w:rPr>
        <w:t>Sopransaxophon</w:t>
      </w:r>
      <w:proofErr w:type="gramEnd"/>
      <w:r>
        <w:rPr>
          <w:rFonts w:ascii="Didact Gothic" w:hAnsi="Didact Gothic"/>
          <w:color w:val="717175"/>
          <w:sz w:val="30"/>
          <w:szCs w:val="30"/>
          <w:shd w:val="clear" w:color="auto" w:fill="FFFFFF"/>
        </w:rPr>
        <w:t xml:space="preserve"> und Viola, während Kontrabass und Gitarre den Puls treiben. Über allem schwebt Caros Stimme und führt auf eine emotionale Reise. </w:t>
      </w:r>
      <w:proofErr w:type="spellStart"/>
      <w:r>
        <w:rPr>
          <w:rFonts w:ascii="Didact Gothic" w:hAnsi="Didact Gothic"/>
          <w:color w:val="717175"/>
          <w:sz w:val="30"/>
          <w:szCs w:val="30"/>
          <w:shd w:val="clear" w:color="auto" w:fill="FFFFFF"/>
        </w:rPr>
        <w:t>Horseshoe</w:t>
      </w:r>
      <w:proofErr w:type="spellEnd"/>
      <w:r>
        <w:rPr>
          <w:rFonts w:ascii="Didact Gothic" w:hAnsi="Didact Gothic"/>
          <w:color w:val="717175"/>
          <w:sz w:val="30"/>
          <w:szCs w:val="30"/>
          <w:shd w:val="clear" w:color="auto" w:fill="FFFFFF"/>
        </w:rPr>
        <w:t xml:space="preserve"> Woman erzeugen mit ihren Kompositionen eine unwiderstehliche Anziehungskraft: rebellisch, einzigartig und intensiv.</w:t>
      </w:r>
    </w:p>
    <w:p w14:paraId="4201FB7B" w14:textId="77777777" w:rsidR="00E74954" w:rsidRPr="00E74954" w:rsidRDefault="00E74954" w:rsidP="00E74954">
      <w:pPr>
        <w:spacing w:after="240" w:line="240" w:lineRule="auto"/>
        <w:jc w:val="both"/>
        <w:rPr>
          <w:rFonts w:ascii="Didact Gothic" w:eastAsia="Times New Roman" w:hAnsi="Didact Gothic" w:cs="Times New Roman"/>
          <w:color w:val="717175"/>
          <w:kern w:val="0"/>
          <w:lang w:eastAsia="de-DE"/>
          <w14:ligatures w14:val="none"/>
        </w:rPr>
      </w:pPr>
      <w:r w:rsidRPr="00E74954">
        <w:rPr>
          <w:rFonts w:ascii="Didact Gothic" w:eastAsia="Times New Roman" w:hAnsi="Didact Gothic" w:cs="Times New Roman"/>
          <w:color w:val="717175"/>
          <w:kern w:val="0"/>
          <w:lang w:eastAsia="de-DE"/>
          <w14:ligatures w14:val="none"/>
        </w:rPr>
        <w:t xml:space="preserve">Die Band wurde 2025 gegründet. Ihre Mitglieder kommen aus Düsseldorf, dem Rhein-Kreis Neuss und dem Kreis Viersen. </w:t>
      </w:r>
      <w:proofErr w:type="spellStart"/>
      <w:r w:rsidRPr="00E74954">
        <w:rPr>
          <w:rFonts w:ascii="Didact Gothic" w:eastAsia="Times New Roman" w:hAnsi="Didact Gothic" w:cs="Times New Roman"/>
          <w:color w:val="717175"/>
          <w:kern w:val="0"/>
          <w:lang w:eastAsia="de-DE"/>
          <w14:ligatures w14:val="none"/>
        </w:rPr>
        <w:t>Horseshoe</w:t>
      </w:r>
      <w:proofErr w:type="spellEnd"/>
      <w:r w:rsidRPr="00E74954">
        <w:rPr>
          <w:rFonts w:ascii="Didact Gothic" w:eastAsia="Times New Roman" w:hAnsi="Didact Gothic" w:cs="Times New Roman"/>
          <w:color w:val="717175"/>
          <w:kern w:val="0"/>
          <w:lang w:eastAsia="de-DE"/>
          <w14:ligatures w14:val="none"/>
        </w:rPr>
        <w:t xml:space="preserve"> Woman erzeugen mit ihren Kompositionen eine unwiderstehliche Anziehungskraft: rebellisch, einzigartig und intensiv. </w:t>
      </w:r>
    </w:p>
    <w:p w14:paraId="61196DC8" w14:textId="77777777" w:rsidR="00E74954" w:rsidRPr="00E74954" w:rsidRDefault="00E74954" w:rsidP="00E74954">
      <w:pPr>
        <w:spacing w:after="240" w:line="240" w:lineRule="auto"/>
        <w:jc w:val="both"/>
        <w:rPr>
          <w:rFonts w:ascii="Didact Gothic" w:eastAsia="Times New Roman" w:hAnsi="Didact Gothic" w:cs="Times New Roman"/>
          <w:color w:val="717175"/>
          <w:kern w:val="0"/>
          <w:lang w:eastAsia="de-DE"/>
          <w14:ligatures w14:val="none"/>
        </w:rPr>
      </w:pPr>
      <w:r w:rsidRPr="00E74954">
        <w:rPr>
          <w:rFonts w:ascii="Didact Gothic" w:eastAsia="Times New Roman" w:hAnsi="Didact Gothic" w:cs="Times New Roman"/>
          <w:color w:val="717175"/>
          <w:kern w:val="0"/>
          <w:lang w:eastAsia="de-DE"/>
          <w14:ligatures w14:val="none"/>
        </w:rPr>
        <w:t>Der Bandname „</w:t>
      </w:r>
      <w:proofErr w:type="spellStart"/>
      <w:r w:rsidRPr="00E74954">
        <w:rPr>
          <w:rFonts w:ascii="Didact Gothic" w:eastAsia="Times New Roman" w:hAnsi="Didact Gothic" w:cs="Times New Roman"/>
          <w:color w:val="717175"/>
          <w:kern w:val="0"/>
          <w:lang w:eastAsia="de-DE"/>
          <w14:ligatures w14:val="none"/>
        </w:rPr>
        <w:t>Horseshoe</w:t>
      </w:r>
      <w:proofErr w:type="spellEnd"/>
      <w:r w:rsidRPr="00E74954">
        <w:rPr>
          <w:rFonts w:ascii="Didact Gothic" w:eastAsia="Times New Roman" w:hAnsi="Didact Gothic" w:cs="Times New Roman"/>
          <w:color w:val="717175"/>
          <w:kern w:val="0"/>
          <w:lang w:eastAsia="de-DE"/>
          <w14:ligatures w14:val="none"/>
        </w:rPr>
        <w:t xml:space="preserve"> Woman“ ist kein fester, standardisierter Ausdruck in Wörterbüchern, sondern wird in Songtexten (z. B. bei Caracol) oder Geschichten häufig als poetische, bildhafte Metapher verwendet. Dabei spielt das Hufeisen – ein Objekt, das traditionell mit Glück, Schutz und Beständigkeit assoziiert wird – eine zentrale Rolle. Im kulturellen Gedächtnis vieler Gesellschaften gilt das Hufeisen, wenn es mit der offenen Seite nach oben aufgehängt wird, als Talisman, der Glück „einfängt“ und negative Energien abwehrt.</w:t>
      </w:r>
    </w:p>
    <w:p w14:paraId="2795722A" w14:textId="77777777" w:rsidR="00E74954" w:rsidRPr="00E74954" w:rsidRDefault="00E74954" w:rsidP="00E74954">
      <w:pPr>
        <w:spacing w:after="240" w:line="240" w:lineRule="auto"/>
        <w:jc w:val="both"/>
        <w:rPr>
          <w:rFonts w:ascii="Didact Gothic" w:eastAsia="Times New Roman" w:hAnsi="Didact Gothic" w:cs="Times New Roman"/>
          <w:color w:val="717175"/>
          <w:kern w:val="0"/>
          <w:lang w:eastAsia="de-DE"/>
          <w14:ligatures w14:val="none"/>
        </w:rPr>
      </w:pPr>
      <w:r w:rsidRPr="00E74954">
        <w:rPr>
          <w:rFonts w:ascii="Didact Gothic" w:eastAsia="Times New Roman" w:hAnsi="Didact Gothic" w:cs="Times New Roman"/>
          <w:color w:val="717175"/>
          <w:kern w:val="0"/>
          <w:lang w:eastAsia="de-DE"/>
          <w14:ligatures w14:val="none"/>
        </w:rPr>
        <w:t>In künstlerischen oder literarischen Kontexten kann eine „</w:t>
      </w:r>
      <w:proofErr w:type="spellStart"/>
      <w:r w:rsidRPr="00E74954">
        <w:rPr>
          <w:rFonts w:ascii="Didact Gothic" w:eastAsia="Times New Roman" w:hAnsi="Didact Gothic" w:cs="Times New Roman"/>
          <w:color w:val="717175"/>
          <w:kern w:val="0"/>
          <w:lang w:eastAsia="de-DE"/>
          <w14:ligatures w14:val="none"/>
        </w:rPr>
        <w:t>Horseshoe</w:t>
      </w:r>
      <w:proofErr w:type="spellEnd"/>
      <w:r w:rsidRPr="00E74954">
        <w:rPr>
          <w:rFonts w:ascii="Didact Gothic" w:eastAsia="Times New Roman" w:hAnsi="Didact Gothic" w:cs="Times New Roman"/>
          <w:color w:val="717175"/>
          <w:kern w:val="0"/>
          <w:lang w:eastAsia="de-DE"/>
          <w14:ligatures w14:val="none"/>
        </w:rPr>
        <w:t xml:space="preserve"> Woman“ daher verschiedene Facetten verkörpern. So könnte sie als eine Frau interpretiert werden, die selbst eine Art Glücksbringerin ist – jemand, der durch ihre Anziehungskraft, Resilienz oder Unabhängigkeit positive Veränderungen bewirkt. Gleichzeitig weist der Ausdruck auch auf einen Hauch von Mystik und </w:t>
      </w:r>
      <w:proofErr w:type="spellStart"/>
      <w:r w:rsidRPr="00E74954">
        <w:rPr>
          <w:rFonts w:ascii="Didact Gothic" w:eastAsia="Times New Roman" w:hAnsi="Didact Gothic" w:cs="Times New Roman"/>
          <w:color w:val="717175"/>
          <w:kern w:val="0"/>
          <w:lang w:eastAsia="de-DE"/>
          <w14:ligatures w14:val="none"/>
        </w:rPr>
        <w:t>Rebelliosität</w:t>
      </w:r>
      <w:proofErr w:type="spellEnd"/>
      <w:r w:rsidRPr="00E74954">
        <w:rPr>
          <w:rFonts w:ascii="Didact Gothic" w:eastAsia="Times New Roman" w:hAnsi="Didact Gothic" w:cs="Times New Roman"/>
          <w:color w:val="717175"/>
          <w:kern w:val="0"/>
          <w:lang w:eastAsia="de-DE"/>
          <w14:ligatures w14:val="none"/>
        </w:rPr>
        <w:t xml:space="preserve"> hin, auf legendäre eigenwillige Frauen, die sich nicht an konventionelle Rollen klammern. </w:t>
      </w:r>
    </w:p>
    <w:p w14:paraId="5376923B" w14:textId="77777777" w:rsidR="00024A70" w:rsidRDefault="00E74954" w:rsidP="00E74954">
      <w:pPr>
        <w:spacing w:after="240" w:line="240" w:lineRule="auto"/>
        <w:jc w:val="both"/>
        <w:rPr>
          <w:rFonts w:ascii="Didact Gothic" w:eastAsia="Times New Roman" w:hAnsi="Didact Gothic" w:cs="Times New Roman"/>
          <w:color w:val="717175"/>
          <w:kern w:val="0"/>
          <w:lang w:eastAsia="de-DE"/>
          <w14:ligatures w14:val="none"/>
        </w:rPr>
        <w:sectPr w:rsidR="00024A70">
          <w:pgSz w:w="11906" w:h="16838"/>
          <w:pgMar w:top="1417" w:right="1417" w:bottom="1134" w:left="1417" w:header="708" w:footer="708" w:gutter="0"/>
          <w:cols w:space="708"/>
          <w:docGrid w:linePitch="360"/>
        </w:sectPr>
      </w:pPr>
      <w:proofErr w:type="spellStart"/>
      <w:r w:rsidRPr="00E74954">
        <w:rPr>
          <w:rFonts w:ascii="Didact Gothic" w:eastAsia="Times New Roman" w:hAnsi="Didact Gothic" w:cs="Times New Roman"/>
          <w:color w:val="717175"/>
          <w:kern w:val="0"/>
          <w:lang w:eastAsia="de-DE"/>
          <w14:ligatures w14:val="none"/>
        </w:rPr>
        <w:t>Horseshoe</w:t>
      </w:r>
      <w:proofErr w:type="spellEnd"/>
      <w:r w:rsidRPr="00E74954">
        <w:rPr>
          <w:rFonts w:ascii="Didact Gothic" w:eastAsia="Times New Roman" w:hAnsi="Didact Gothic" w:cs="Times New Roman"/>
          <w:color w:val="717175"/>
          <w:kern w:val="0"/>
          <w:lang w:eastAsia="de-DE"/>
          <w14:ligatures w14:val="none"/>
        </w:rPr>
        <w:t xml:space="preserve"> Woman lebt von der Mehrdeutigkeit und davon, dass er sowohl positive Attribute wie Glück und Schutz als auch eine rebellische, mystische Seite symbolisieren kann. Diese wunderbaren Zutaten mischen sich in der Musik der </w:t>
      </w:r>
      <w:proofErr w:type="spellStart"/>
      <w:r w:rsidRPr="00E74954">
        <w:rPr>
          <w:rFonts w:ascii="Didact Gothic" w:eastAsia="Times New Roman" w:hAnsi="Didact Gothic" w:cs="Times New Roman"/>
          <w:color w:val="717175"/>
          <w:kern w:val="0"/>
          <w:lang w:eastAsia="de-DE"/>
          <w14:ligatures w14:val="none"/>
        </w:rPr>
        <w:t>Horseshoe</w:t>
      </w:r>
      <w:proofErr w:type="spellEnd"/>
      <w:r w:rsidRPr="00E74954">
        <w:rPr>
          <w:rFonts w:ascii="Didact Gothic" w:eastAsia="Times New Roman" w:hAnsi="Didact Gothic" w:cs="Times New Roman"/>
          <w:color w:val="717175"/>
          <w:kern w:val="0"/>
          <w:lang w:eastAsia="de-DE"/>
          <w14:ligatures w14:val="none"/>
        </w:rPr>
        <w:t xml:space="preserve"> Woman Band in jedem Song auf harmonische Weise neu zu einem authentischen, freudig-mystischen Sound.</w:t>
      </w:r>
    </w:p>
    <w:p w14:paraId="299E0052" w14:textId="7516E17E" w:rsidR="00E74954" w:rsidRDefault="00E74954" w:rsidP="00E74954">
      <w:pPr>
        <w:pStyle w:val="berschrift2"/>
      </w:pPr>
      <w:r>
        <w:lastRenderedPageBreak/>
        <w:t>Ensemble</w:t>
      </w:r>
    </w:p>
    <w:p w14:paraId="4D25376A" w14:textId="33F19737" w:rsidR="00E74954" w:rsidRDefault="00E74954">
      <w:r>
        <w:t>Carolin Wöbking – Vocals, Tin Whistle</w:t>
      </w:r>
      <w:r>
        <w:br/>
        <w:t xml:space="preserve">Frank von Danwitz – </w:t>
      </w:r>
      <w:r w:rsidR="00024A70">
        <w:t xml:space="preserve">Vocals, </w:t>
      </w:r>
      <w:r>
        <w:t>Gitarre, Banjo</w:t>
      </w:r>
      <w:r>
        <w:br/>
        <w:t xml:space="preserve">Kathrin Gräger – Viola, </w:t>
      </w:r>
      <w:proofErr w:type="gramStart"/>
      <w:r>
        <w:t>Sopransaxophon</w:t>
      </w:r>
      <w:proofErr w:type="gramEnd"/>
      <w:r>
        <w:br/>
      </w:r>
      <w:proofErr w:type="spellStart"/>
      <w:r>
        <w:t>Førges</w:t>
      </w:r>
      <w:proofErr w:type="spellEnd"/>
      <w:r>
        <w:t xml:space="preserve"> de Buhr – Bass, Kontrabass</w:t>
      </w:r>
      <w:r>
        <w:br/>
      </w:r>
    </w:p>
    <w:p w14:paraId="2D7B4E35" w14:textId="765BA08C" w:rsidR="00E74954" w:rsidRDefault="00E74954" w:rsidP="00E74954">
      <w:pPr>
        <w:pStyle w:val="berschrift2"/>
      </w:pPr>
      <w:proofErr w:type="spellStart"/>
      <w:r>
        <w:t>Social</w:t>
      </w:r>
      <w:proofErr w:type="spellEnd"/>
      <w:r>
        <w:t xml:space="preserve"> Media</w:t>
      </w:r>
    </w:p>
    <w:p w14:paraId="4F6EFBBE" w14:textId="6818C701" w:rsidR="00024A70" w:rsidRDefault="00024A70" w:rsidP="00024A70">
      <w:r>
        <w:t xml:space="preserve">YouTube - </w:t>
      </w:r>
      <w:hyperlink r:id="rId4" w:history="1">
        <w:r w:rsidRPr="002C3782">
          <w:rPr>
            <w:rStyle w:val="Hyperlink"/>
          </w:rPr>
          <w:t>https://www.youtube.com/@HorseshoeWoman</w:t>
        </w:r>
      </w:hyperlink>
    </w:p>
    <w:p w14:paraId="4E9187D8" w14:textId="31067ABC" w:rsidR="00024A70" w:rsidRDefault="00024A70" w:rsidP="00024A70">
      <w:r>
        <w:t xml:space="preserve">Instagram - </w:t>
      </w:r>
      <w:hyperlink r:id="rId5" w:history="1">
        <w:r w:rsidRPr="002C3782">
          <w:rPr>
            <w:rStyle w:val="Hyperlink"/>
          </w:rPr>
          <w:t>https://www.instagram.com/horseshoewoman</w:t>
        </w:r>
      </w:hyperlink>
    </w:p>
    <w:p w14:paraId="0A81E259" w14:textId="1BF4413F" w:rsidR="00024A70" w:rsidRDefault="00024A70" w:rsidP="00024A70"/>
    <w:p w14:paraId="36CCC622" w14:textId="551492EC" w:rsidR="00024A70" w:rsidRDefault="00024A70" w:rsidP="00024A70">
      <w:pPr>
        <w:pStyle w:val="berschrift1"/>
      </w:pPr>
      <w:r>
        <w:t>Kontakt/Booking</w:t>
      </w:r>
    </w:p>
    <w:p w14:paraId="386EC563" w14:textId="0477C556" w:rsidR="00024A70" w:rsidRPr="00024A70" w:rsidRDefault="00024A70" w:rsidP="00024A70">
      <w:r>
        <w:rPr>
          <w:noProof/>
        </w:rPr>
        <w:drawing>
          <wp:anchor distT="0" distB="0" distL="114300" distR="114300" simplePos="0" relativeHeight="251658240" behindDoc="1" locked="0" layoutInCell="1" allowOverlap="1" wp14:anchorId="21E48F06" wp14:editId="7F6F852C">
            <wp:simplePos x="0" y="0"/>
            <wp:positionH relativeFrom="margin">
              <wp:posOffset>1485569</wp:posOffset>
            </wp:positionH>
            <wp:positionV relativeFrom="margin">
              <wp:posOffset>5892386</wp:posOffset>
            </wp:positionV>
            <wp:extent cx="3156667" cy="3156667"/>
            <wp:effectExtent l="0" t="0" r="5715" b="5715"/>
            <wp:wrapNone/>
            <wp:docPr id="189405839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4058398" name="Grafik 1894058398"/>
                    <pic:cNvPicPr/>
                  </pic:nvPicPr>
                  <pic:blipFill>
                    <a:blip r:embed="rId6">
                      <a:extLst>
                        <a:ext uri="{28A0092B-C50C-407E-A947-70E740481C1C}">
                          <a14:useLocalDpi xmlns:a14="http://schemas.microsoft.com/office/drawing/2010/main" val="0"/>
                        </a:ext>
                      </a:extLst>
                    </a:blip>
                    <a:stretch>
                      <a:fillRect/>
                    </a:stretch>
                  </pic:blipFill>
                  <pic:spPr>
                    <a:xfrm>
                      <a:off x="0" y="0"/>
                      <a:ext cx="3156667" cy="3156667"/>
                    </a:xfrm>
                    <a:prstGeom prst="rect">
                      <a:avLst/>
                    </a:prstGeom>
                  </pic:spPr>
                </pic:pic>
              </a:graphicData>
            </a:graphic>
            <wp14:sizeRelH relativeFrom="margin">
              <wp14:pctWidth>0</wp14:pctWidth>
            </wp14:sizeRelH>
            <wp14:sizeRelV relativeFrom="margin">
              <wp14:pctHeight>0</wp14:pctHeight>
            </wp14:sizeRelV>
          </wp:anchor>
        </w:drawing>
      </w:r>
      <w:r>
        <w:rPr>
          <w:rFonts w:ascii="Didact Gothic" w:hAnsi="Didact Gothic"/>
          <w:color w:val="717175"/>
          <w:shd w:val="clear" w:color="auto" w:fill="FFFFFF"/>
        </w:rPr>
        <w:t>Frank von Danwitz</w:t>
      </w:r>
      <w:r>
        <w:rPr>
          <w:rFonts w:ascii="Didact Gothic" w:hAnsi="Didact Gothic"/>
          <w:color w:val="717175"/>
        </w:rPr>
        <w:br/>
      </w:r>
      <w:r>
        <w:rPr>
          <w:rFonts w:ascii="Didact Gothic" w:hAnsi="Didact Gothic"/>
          <w:color w:val="717175"/>
          <w:shd w:val="clear" w:color="auto" w:fill="FFFFFF"/>
        </w:rPr>
        <w:t>Klarissenstr. 6</w:t>
      </w:r>
      <w:r>
        <w:rPr>
          <w:rFonts w:ascii="Didact Gothic" w:hAnsi="Didact Gothic"/>
          <w:color w:val="717175"/>
        </w:rPr>
        <w:br/>
      </w:r>
      <w:r>
        <w:rPr>
          <w:rFonts w:ascii="Didact Gothic" w:hAnsi="Didact Gothic"/>
          <w:color w:val="717175"/>
          <w:shd w:val="clear" w:color="auto" w:fill="FFFFFF"/>
        </w:rPr>
        <w:t>41564 Kaarst</w:t>
      </w:r>
      <w:r>
        <w:rPr>
          <w:rFonts w:ascii="Didact Gothic" w:hAnsi="Didact Gothic"/>
          <w:color w:val="717175"/>
        </w:rPr>
        <w:br/>
      </w:r>
      <w:r>
        <w:rPr>
          <w:rFonts w:ascii="Didact Gothic" w:hAnsi="Didact Gothic"/>
          <w:color w:val="717175"/>
          <w:shd w:val="clear" w:color="auto" w:fill="FFFFFF"/>
        </w:rPr>
        <w:t>Deutschland</w:t>
      </w:r>
      <w:r>
        <w:rPr>
          <w:rFonts w:ascii="Didact Gothic" w:hAnsi="Didact Gothic"/>
          <w:color w:val="717175"/>
        </w:rPr>
        <w:br/>
      </w:r>
      <w:r>
        <w:rPr>
          <w:rFonts w:ascii="Didact Gothic" w:hAnsi="Didact Gothic"/>
          <w:color w:val="717175"/>
        </w:rPr>
        <w:br/>
      </w:r>
      <w:r>
        <w:rPr>
          <w:rFonts w:ascii="Didact Gothic" w:hAnsi="Didact Gothic"/>
          <w:color w:val="717175"/>
          <w:shd w:val="clear" w:color="auto" w:fill="FFFFFF"/>
        </w:rPr>
        <w:t>Telefon: +49 152 33 687 999</w:t>
      </w:r>
      <w:r>
        <w:rPr>
          <w:rFonts w:ascii="Didact Gothic" w:hAnsi="Didact Gothic"/>
          <w:color w:val="717175"/>
        </w:rPr>
        <w:br/>
      </w:r>
      <w:r>
        <w:rPr>
          <w:rFonts w:ascii="Didact Gothic" w:hAnsi="Didact Gothic"/>
          <w:color w:val="717175"/>
          <w:shd w:val="clear" w:color="auto" w:fill="FFFFFF"/>
        </w:rPr>
        <w:t>E-Mail: ask@horseshoewoman.com</w:t>
      </w:r>
    </w:p>
    <w:sectPr w:rsidR="00024A70" w:rsidRPr="00024A70">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Italiana">
    <w:altName w:val="Cambria"/>
    <w:panose1 w:val="020B0604020202020204"/>
    <w:charset w:val="00"/>
    <w:family w:val="roman"/>
    <w:notTrueType/>
    <w:pitch w:val="default"/>
  </w:font>
  <w:font w:name="Didact Gothic">
    <w:panose1 w:val="00000500000000000000"/>
    <w:charset w:val="00"/>
    <w:family w:val="auto"/>
    <w:pitch w:val="variable"/>
    <w:sig w:usb0="600002CF" w:usb1="00000002" w:usb2="00000000" w:usb3="00000000" w:csb0="0000019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4954"/>
    <w:rsid w:val="00024A70"/>
    <w:rsid w:val="001D7D22"/>
    <w:rsid w:val="00A71164"/>
    <w:rsid w:val="00E74954"/>
    <w:rsid w:val="00F80C2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5A174"/>
  <w15:chartTrackingRefBased/>
  <w15:docId w15:val="{7AF32419-A3F9-8F49-9FE3-E77EDFE3D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E7495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unhideWhenUsed/>
    <w:qFormat/>
    <w:rsid w:val="00E7495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E74954"/>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E74954"/>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E74954"/>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E74954"/>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E74954"/>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E74954"/>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E74954"/>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7495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rsid w:val="00E7495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E74954"/>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E74954"/>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E74954"/>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E74954"/>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E74954"/>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E74954"/>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E74954"/>
    <w:rPr>
      <w:rFonts w:eastAsiaTheme="majorEastAsia" w:cstheme="majorBidi"/>
      <w:color w:val="272727" w:themeColor="text1" w:themeTint="D8"/>
    </w:rPr>
  </w:style>
  <w:style w:type="paragraph" w:styleId="Titel">
    <w:name w:val="Title"/>
    <w:basedOn w:val="Standard"/>
    <w:next w:val="Standard"/>
    <w:link w:val="TitelZchn"/>
    <w:uiPriority w:val="10"/>
    <w:qFormat/>
    <w:rsid w:val="00E7495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E74954"/>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E74954"/>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E7495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E74954"/>
    <w:pPr>
      <w:spacing w:before="160"/>
      <w:jc w:val="center"/>
    </w:pPr>
    <w:rPr>
      <w:i/>
      <w:iCs/>
      <w:color w:val="404040" w:themeColor="text1" w:themeTint="BF"/>
    </w:rPr>
  </w:style>
  <w:style w:type="character" w:customStyle="1" w:styleId="ZitatZchn">
    <w:name w:val="Zitat Zchn"/>
    <w:basedOn w:val="Absatz-Standardschriftart"/>
    <w:link w:val="Zitat"/>
    <w:uiPriority w:val="29"/>
    <w:rsid w:val="00E74954"/>
    <w:rPr>
      <w:i/>
      <w:iCs/>
      <w:color w:val="404040" w:themeColor="text1" w:themeTint="BF"/>
    </w:rPr>
  </w:style>
  <w:style w:type="paragraph" w:styleId="Listenabsatz">
    <w:name w:val="List Paragraph"/>
    <w:basedOn w:val="Standard"/>
    <w:uiPriority w:val="34"/>
    <w:qFormat/>
    <w:rsid w:val="00E74954"/>
    <w:pPr>
      <w:ind w:left="720"/>
      <w:contextualSpacing/>
    </w:pPr>
  </w:style>
  <w:style w:type="character" w:styleId="IntensiveHervorhebung">
    <w:name w:val="Intense Emphasis"/>
    <w:basedOn w:val="Absatz-Standardschriftart"/>
    <w:uiPriority w:val="21"/>
    <w:qFormat/>
    <w:rsid w:val="00E74954"/>
    <w:rPr>
      <w:i/>
      <w:iCs/>
      <w:color w:val="0F4761" w:themeColor="accent1" w:themeShade="BF"/>
    </w:rPr>
  </w:style>
  <w:style w:type="paragraph" w:styleId="IntensivesZitat">
    <w:name w:val="Intense Quote"/>
    <w:basedOn w:val="Standard"/>
    <w:next w:val="Standard"/>
    <w:link w:val="IntensivesZitatZchn"/>
    <w:uiPriority w:val="30"/>
    <w:qFormat/>
    <w:rsid w:val="00E7495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E74954"/>
    <w:rPr>
      <w:i/>
      <w:iCs/>
      <w:color w:val="0F4761" w:themeColor="accent1" w:themeShade="BF"/>
    </w:rPr>
  </w:style>
  <w:style w:type="character" w:styleId="IntensiverVerweis">
    <w:name w:val="Intense Reference"/>
    <w:basedOn w:val="Absatz-Standardschriftart"/>
    <w:uiPriority w:val="32"/>
    <w:qFormat/>
    <w:rsid w:val="00E74954"/>
    <w:rPr>
      <w:b/>
      <w:bCs/>
      <w:smallCaps/>
      <w:color w:val="0F4761" w:themeColor="accent1" w:themeShade="BF"/>
      <w:spacing w:val="5"/>
    </w:rPr>
  </w:style>
  <w:style w:type="paragraph" w:customStyle="1" w:styleId="wp-block-paragraph">
    <w:name w:val="wp-block-paragraph"/>
    <w:basedOn w:val="Standard"/>
    <w:rsid w:val="00E74954"/>
    <w:pPr>
      <w:spacing w:before="100" w:beforeAutospacing="1" w:after="100" w:afterAutospacing="1" w:line="240" w:lineRule="auto"/>
    </w:pPr>
    <w:rPr>
      <w:rFonts w:ascii="Times New Roman" w:eastAsia="Times New Roman" w:hAnsi="Times New Roman" w:cs="Times New Roman"/>
      <w:kern w:val="0"/>
      <w:lang w:eastAsia="de-DE"/>
      <w14:ligatures w14:val="none"/>
    </w:rPr>
  </w:style>
  <w:style w:type="character" w:customStyle="1" w:styleId="apple-converted-space">
    <w:name w:val="apple-converted-space"/>
    <w:basedOn w:val="Absatz-Standardschriftart"/>
    <w:rsid w:val="00E74954"/>
  </w:style>
  <w:style w:type="character" w:styleId="Hyperlink">
    <w:name w:val="Hyperlink"/>
    <w:basedOn w:val="Absatz-Standardschriftart"/>
    <w:uiPriority w:val="99"/>
    <w:unhideWhenUsed/>
    <w:rsid w:val="00024A70"/>
    <w:rPr>
      <w:color w:val="467886" w:themeColor="hyperlink"/>
      <w:u w:val="single"/>
    </w:rPr>
  </w:style>
  <w:style w:type="character" w:styleId="NichtaufgelsteErwhnung">
    <w:name w:val="Unresolved Mention"/>
    <w:basedOn w:val="Absatz-Standardschriftart"/>
    <w:uiPriority w:val="99"/>
    <w:semiHidden/>
    <w:unhideWhenUsed/>
    <w:rsid w:val="00024A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hyperlink" Target="https://www.instagram.com/horseshoewoman" TargetMode="External"/><Relationship Id="rId4" Type="http://schemas.openxmlformats.org/officeDocument/2006/relationships/hyperlink" Target="https://www.youtube.com/@HorseshoeWoman"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340</Words>
  <Characters>2260</Characters>
  <Application>Microsoft Office Word</Application>
  <DocSecurity>0</DocSecurity>
  <Lines>50</Lines>
  <Paragraphs>14</Paragraphs>
  <ScaleCrop>false</ScaleCrop>
  <HeadingPairs>
    <vt:vector size="2" baseType="variant">
      <vt:variant>
        <vt:lpstr>Titel</vt:lpstr>
      </vt:variant>
      <vt:variant>
        <vt:i4>1</vt:i4>
      </vt:variant>
    </vt:vector>
  </HeadingPairs>
  <TitlesOfParts>
    <vt:vector size="1" baseType="lpstr">
      <vt:lpstr>Horseshoe Woman - Band Info</vt:lpstr>
    </vt:vector>
  </TitlesOfParts>
  <Manager/>
  <Company>Horseshoe Woman</Company>
  <LinksUpToDate>false</LinksUpToDate>
  <CharactersWithSpaces>2586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Horseshoe Woman - Band Info</dc:title>
  <dc:subject>PresseKit - Text</dc:subject>
  <dc:creator>von Danwitz, Frank</dc:creator>
  <cp:keywords/>
  <dc:description/>
  <cp:lastModifiedBy>von Danwitz, Frank</cp:lastModifiedBy>
  <cp:revision>3</cp:revision>
  <cp:lastPrinted>2026-06-26T20:21:00Z</cp:lastPrinted>
  <dcterms:created xsi:type="dcterms:W3CDTF">2026-06-26T19:44:00Z</dcterms:created>
  <dcterms:modified xsi:type="dcterms:W3CDTF">2026-06-26T21:22:00Z</dcterms:modified>
  <cp:category/>
</cp:coreProperties>
</file>